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BB0" w:rsidRDefault="00592BB0" w:rsidP="00B820F2">
      <w:pPr>
        <w:pStyle w:val="2"/>
        <w:spacing w:after="0" w:line="580" w:lineRule="exact"/>
        <w:ind w:leftChars="0" w:left="0" w:firstLineChars="0" w:firstLine="0"/>
        <w:jc w:val="center"/>
        <w:rPr>
          <w:rFonts w:ascii="仿宋_GB2312" w:eastAsia="仿宋_GB2312" w:hint="eastAsia"/>
          <w:sz w:val="32"/>
          <w:szCs w:val="32"/>
        </w:rPr>
      </w:pPr>
    </w:p>
    <w:p w:rsidR="00592BB0" w:rsidRDefault="00592BB0" w:rsidP="00B820F2">
      <w:pPr>
        <w:pStyle w:val="2"/>
        <w:spacing w:after="0" w:line="580" w:lineRule="exact"/>
        <w:ind w:leftChars="0" w:left="0" w:firstLineChars="0" w:firstLine="0"/>
        <w:jc w:val="center"/>
        <w:rPr>
          <w:rFonts w:ascii="仿宋_GB2312" w:eastAsia="仿宋_GB2312" w:hint="eastAsia"/>
          <w:sz w:val="32"/>
          <w:szCs w:val="32"/>
        </w:rPr>
      </w:pPr>
    </w:p>
    <w:p w:rsidR="00592BB0" w:rsidRDefault="00592BB0" w:rsidP="00B820F2">
      <w:pPr>
        <w:pStyle w:val="2"/>
        <w:spacing w:after="0" w:line="580" w:lineRule="exact"/>
        <w:ind w:leftChars="0" w:left="0" w:firstLineChars="0" w:firstLine="0"/>
        <w:jc w:val="center"/>
        <w:rPr>
          <w:rFonts w:ascii="仿宋_GB2312" w:eastAsia="仿宋_GB2312" w:hint="eastAsia"/>
          <w:sz w:val="32"/>
          <w:szCs w:val="32"/>
        </w:rPr>
      </w:pPr>
    </w:p>
    <w:p w:rsidR="003900A5" w:rsidRDefault="003900A5" w:rsidP="00B820F2">
      <w:pPr>
        <w:pStyle w:val="2"/>
        <w:spacing w:after="0" w:line="580" w:lineRule="exact"/>
        <w:ind w:leftChars="0" w:left="0" w:firstLineChars="0" w:firstLine="0"/>
        <w:jc w:val="center"/>
        <w:rPr>
          <w:rFonts w:asciiTheme="majorEastAsia" w:eastAsiaTheme="majorEastAsia" w:hAnsiTheme="majorEastAsia" w:hint="eastAsia"/>
          <w:b/>
          <w:sz w:val="44"/>
          <w:szCs w:val="44"/>
        </w:rPr>
      </w:pPr>
      <w:r>
        <w:rPr>
          <w:rFonts w:ascii="仿宋_GB2312" w:eastAsia="仿宋_GB2312" w:hint="eastAsia"/>
          <w:sz w:val="32"/>
          <w:szCs w:val="32"/>
        </w:rPr>
        <w:t>滕市监〔2021〕37号</w:t>
      </w:r>
    </w:p>
    <w:p w:rsidR="00677D54" w:rsidRPr="00B820F2" w:rsidRDefault="00941609" w:rsidP="00B820F2">
      <w:pPr>
        <w:pStyle w:val="2"/>
        <w:spacing w:after="0" w:line="580" w:lineRule="exact"/>
        <w:ind w:leftChars="0" w:left="0" w:firstLineChars="0" w:firstLine="0"/>
        <w:jc w:val="center"/>
        <w:rPr>
          <w:rFonts w:asciiTheme="majorEastAsia" w:eastAsiaTheme="majorEastAsia" w:hAnsiTheme="majorEastAsia"/>
          <w:b/>
          <w:sz w:val="44"/>
          <w:szCs w:val="44"/>
        </w:rPr>
      </w:pPr>
      <w:r w:rsidRPr="00B820F2">
        <w:rPr>
          <w:rFonts w:asciiTheme="majorEastAsia" w:eastAsiaTheme="majorEastAsia" w:hAnsiTheme="majorEastAsia" w:hint="eastAsia"/>
          <w:b/>
          <w:sz w:val="44"/>
          <w:szCs w:val="44"/>
        </w:rPr>
        <w:t>滕州市市场监督管理局</w:t>
      </w:r>
    </w:p>
    <w:p w:rsidR="00677D54" w:rsidRPr="00B820F2" w:rsidRDefault="00941609" w:rsidP="00B820F2">
      <w:pPr>
        <w:pStyle w:val="2"/>
        <w:spacing w:after="0" w:line="580" w:lineRule="exact"/>
        <w:ind w:leftChars="0" w:left="0" w:firstLineChars="0" w:firstLine="0"/>
        <w:jc w:val="center"/>
        <w:rPr>
          <w:rFonts w:asciiTheme="majorEastAsia" w:eastAsiaTheme="majorEastAsia" w:hAnsiTheme="majorEastAsia"/>
          <w:b/>
          <w:sz w:val="44"/>
          <w:szCs w:val="44"/>
        </w:rPr>
      </w:pPr>
      <w:r w:rsidRPr="00B820F2">
        <w:rPr>
          <w:rFonts w:asciiTheme="majorEastAsia" w:eastAsiaTheme="majorEastAsia" w:hAnsiTheme="majorEastAsia" w:hint="eastAsia"/>
          <w:b/>
          <w:sz w:val="44"/>
          <w:szCs w:val="44"/>
        </w:rPr>
        <w:t>关于开展粮食市场秩序专项整治工作的通知</w:t>
      </w:r>
    </w:p>
    <w:p w:rsidR="00677D54" w:rsidRDefault="00677D54">
      <w:pPr>
        <w:rPr>
          <w:rFonts w:ascii="仿宋" w:eastAsia="仿宋" w:hAnsi="仿宋"/>
          <w:sz w:val="32"/>
          <w:szCs w:val="32"/>
        </w:rPr>
      </w:pPr>
    </w:p>
    <w:p w:rsidR="00677D54" w:rsidRDefault="00941609">
      <w:pPr>
        <w:adjustRightInd/>
        <w:snapToGrid/>
        <w:rPr>
          <w:rFonts w:ascii="仿宋" w:eastAsia="仿宋" w:hAnsi="仿宋"/>
          <w:sz w:val="32"/>
          <w:szCs w:val="32"/>
        </w:rPr>
      </w:pPr>
      <w:r>
        <w:rPr>
          <w:rFonts w:ascii="仿宋" w:eastAsia="仿宋" w:hAnsi="仿宋" w:hint="eastAsia"/>
          <w:sz w:val="32"/>
          <w:szCs w:val="32"/>
        </w:rPr>
        <w:t>局属各单位：</w:t>
      </w:r>
    </w:p>
    <w:p w:rsidR="00677D54" w:rsidRDefault="00941609">
      <w:pPr>
        <w:adjustRightInd/>
        <w:snapToGrid/>
        <w:ind w:firstLineChars="200" w:firstLine="640"/>
        <w:rPr>
          <w:rFonts w:ascii="仿宋" w:eastAsia="仿宋" w:hAnsi="仿宋"/>
          <w:sz w:val="32"/>
          <w:szCs w:val="32"/>
        </w:rPr>
      </w:pPr>
      <w:r>
        <w:rPr>
          <w:rFonts w:ascii="仿宋" w:eastAsia="仿宋" w:hAnsi="仿宋" w:hint="eastAsia"/>
          <w:sz w:val="32"/>
          <w:szCs w:val="32"/>
        </w:rPr>
        <w:t>为深入贯彻习近平总书记关于国家粮食安全的系列重要讲话精神，认真落实国家总局、省局《关于开展粮食市场秩序专项整治的通知》和市纪委监委工作要求，进一步加强粮食购销领域市场监管工作，经研究决定开展粮食市场秩序专项整治工作，现将有关事项通知如下：</w:t>
      </w:r>
    </w:p>
    <w:p w:rsidR="00677D54" w:rsidRDefault="00941609">
      <w:pPr>
        <w:adjustRightInd/>
        <w:snapToGrid/>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一、整治目标</w:t>
      </w:r>
    </w:p>
    <w:p w:rsidR="00677D54" w:rsidRDefault="00941609">
      <w:pPr>
        <w:adjustRightInd/>
        <w:snapToGrid/>
        <w:ind w:firstLineChars="200" w:firstLine="640"/>
        <w:rPr>
          <w:rFonts w:ascii="仿宋" w:eastAsia="仿宋" w:hAnsi="仿宋"/>
          <w:sz w:val="32"/>
          <w:szCs w:val="32"/>
        </w:rPr>
      </w:pPr>
      <w:r>
        <w:rPr>
          <w:rFonts w:ascii="仿宋" w:eastAsia="仿宋" w:hAnsi="仿宋" w:hint="eastAsia"/>
          <w:sz w:val="32"/>
          <w:szCs w:val="32"/>
        </w:rPr>
        <w:t>认真贯彻落实习近平总书记关于国家粮食安全的系列重要讲话精神，充分认识开展粮食市场秩序专项整治工作的重要意义。积极发挥市场监管对粮食购销秩序的规范作用，牢固树立监管责任意识，坚持问题导向、目标导向相结合，以更高标准、更严要求加大检查力度。依照《价格法》、《反垄断法》、《计量法》、《粮食流通管理条例》和《食品安全法》等法律法规，对粮食经营活动中的扰乱市场秩序行为、违法交易行为以及价格违法等行为进行监督检查，集中</w:t>
      </w:r>
      <w:r>
        <w:rPr>
          <w:rFonts w:ascii="仿宋" w:eastAsia="仿宋" w:hAnsi="仿宋" w:hint="eastAsia"/>
          <w:sz w:val="32"/>
          <w:szCs w:val="32"/>
        </w:rPr>
        <w:lastRenderedPageBreak/>
        <w:t>查处一批粮食购销领域违法违规典型案件，形成强力震慑，确保我市粮食购销领域市场秩序平稳有序。</w:t>
      </w:r>
    </w:p>
    <w:p w:rsidR="00677D54" w:rsidRDefault="00941609">
      <w:pPr>
        <w:adjustRightInd/>
        <w:snapToGrid/>
        <w:ind w:firstLineChars="200" w:firstLine="643"/>
        <w:rPr>
          <w:rFonts w:asciiTheme="majorEastAsia" w:eastAsiaTheme="majorEastAsia" w:hAnsiTheme="majorEastAsia"/>
          <w:b/>
          <w:sz w:val="32"/>
          <w:szCs w:val="32"/>
        </w:rPr>
      </w:pPr>
      <w:r>
        <w:rPr>
          <w:rFonts w:asciiTheme="majorEastAsia" w:eastAsiaTheme="majorEastAsia" w:hAnsiTheme="majorEastAsia" w:hint="eastAsia"/>
          <w:b/>
          <w:sz w:val="32"/>
          <w:szCs w:val="32"/>
        </w:rPr>
        <w:t>二、整治主要任务</w:t>
      </w:r>
    </w:p>
    <w:p w:rsidR="00677D54" w:rsidRDefault="00941609">
      <w:pPr>
        <w:adjustRightInd/>
        <w:snapToGrid/>
        <w:ind w:firstLineChars="200" w:firstLine="640"/>
        <w:rPr>
          <w:rFonts w:ascii="仿宋" w:eastAsia="仿宋" w:hAnsi="仿宋"/>
          <w:sz w:val="32"/>
          <w:szCs w:val="32"/>
        </w:rPr>
      </w:pPr>
      <w:r>
        <w:rPr>
          <w:rFonts w:ascii="仿宋" w:eastAsia="仿宋" w:hAnsi="仿宋" w:hint="eastAsia"/>
          <w:sz w:val="32"/>
          <w:szCs w:val="32"/>
        </w:rPr>
        <w:t>根据相关法律法规规定，</w:t>
      </w:r>
      <w:r>
        <w:rPr>
          <w:rFonts w:ascii="仿宋" w:eastAsia="仿宋" w:hAnsi="仿宋" w:cstheme="minorBidi" w:hint="eastAsia"/>
          <w:kern w:val="2"/>
          <w:sz w:val="32"/>
          <w:szCs w:val="32"/>
        </w:rPr>
        <w:t>立足市场监管职责，本次专项整治重点突出对粮食市场扰乱市场秩</w:t>
      </w:r>
      <w:r>
        <w:rPr>
          <w:rFonts w:ascii="仿宋" w:eastAsia="仿宋" w:hAnsi="仿宋" w:hint="eastAsia"/>
          <w:sz w:val="32"/>
          <w:szCs w:val="32"/>
        </w:rPr>
        <w:t>序、违法交易等违法违规行为的监督检查力度，对具有连续性的重大违法行为向前追溯至行为开始时间，一经查实，从严处置，绝不姑息。按照上级工作部署要求，专项整治时间自即日起至2022年5月底结束。</w:t>
      </w:r>
    </w:p>
    <w:p w:rsidR="00677D54" w:rsidRDefault="00941609">
      <w:pPr>
        <w:adjustRightInd/>
        <w:snapToGrid/>
        <w:ind w:firstLineChars="200" w:firstLine="643"/>
        <w:rPr>
          <w:rFonts w:ascii="仿宋" w:eastAsia="仿宋" w:hAnsi="仿宋"/>
          <w:b/>
          <w:sz w:val="32"/>
          <w:szCs w:val="32"/>
        </w:rPr>
      </w:pPr>
      <w:r>
        <w:rPr>
          <w:rFonts w:ascii="仿宋" w:eastAsia="仿宋" w:hAnsi="仿宋" w:hint="eastAsia"/>
          <w:b/>
          <w:sz w:val="32"/>
          <w:szCs w:val="32"/>
        </w:rPr>
        <w:t>（一）检查重点</w:t>
      </w:r>
    </w:p>
    <w:p w:rsidR="00677D54" w:rsidRDefault="00941609">
      <w:pPr>
        <w:adjustRightInd/>
        <w:snapToGrid/>
        <w:ind w:firstLineChars="200" w:firstLine="640"/>
        <w:rPr>
          <w:rFonts w:ascii="仿宋" w:eastAsia="仿宋" w:hAnsi="仿宋"/>
          <w:sz w:val="32"/>
          <w:szCs w:val="32"/>
        </w:rPr>
      </w:pPr>
      <w:r>
        <w:rPr>
          <w:rFonts w:ascii="仿宋" w:eastAsia="仿宋" w:hAnsi="仿宋" w:hint="eastAsia"/>
          <w:sz w:val="32"/>
          <w:szCs w:val="32"/>
        </w:rPr>
        <w:t>检查重点为全市粮食经营者、国有粮食企业、基层粮库和从事粮食加工食品的经营者。各市场监管所、执法大队对辖区内涉粮经营者收储、库存、生产、销售等粮食经营行为进行全面检查。同时，结合秋粮收购工作，对粮食收购点开展检查。</w:t>
      </w:r>
    </w:p>
    <w:p w:rsidR="00677D54" w:rsidRDefault="00941609">
      <w:pPr>
        <w:adjustRightInd/>
        <w:snapToGrid/>
        <w:ind w:firstLineChars="200" w:firstLine="643"/>
        <w:rPr>
          <w:rFonts w:ascii="仿宋" w:eastAsia="仿宋" w:hAnsi="仿宋"/>
          <w:b/>
          <w:sz w:val="32"/>
          <w:szCs w:val="32"/>
        </w:rPr>
      </w:pPr>
      <w:r>
        <w:rPr>
          <w:rFonts w:ascii="仿宋" w:eastAsia="仿宋" w:hAnsi="仿宋" w:hint="eastAsia"/>
          <w:b/>
          <w:sz w:val="32"/>
          <w:szCs w:val="32"/>
        </w:rPr>
        <w:t>（二）检查内容</w:t>
      </w:r>
    </w:p>
    <w:p w:rsidR="00677D54" w:rsidRDefault="00941609">
      <w:pPr>
        <w:adjustRightInd/>
        <w:snapToGrid/>
        <w:ind w:firstLineChars="200" w:firstLine="640"/>
        <w:rPr>
          <w:rFonts w:ascii="仿宋" w:eastAsia="仿宋" w:hAnsi="仿宋"/>
          <w:sz w:val="32"/>
          <w:szCs w:val="32"/>
        </w:rPr>
      </w:pPr>
      <w:r>
        <w:rPr>
          <w:rFonts w:ascii="仿宋" w:eastAsia="仿宋" w:hAnsi="仿宋" w:hint="eastAsia"/>
          <w:sz w:val="32"/>
          <w:szCs w:val="32"/>
        </w:rPr>
        <w:t>1.无照经营行为。是否存在无照经营和超范围经营行为。</w:t>
      </w:r>
    </w:p>
    <w:p w:rsidR="00677D54" w:rsidRDefault="00941609">
      <w:pPr>
        <w:adjustRightInd/>
        <w:snapToGrid/>
        <w:ind w:firstLineChars="200" w:firstLine="640"/>
        <w:rPr>
          <w:rFonts w:ascii="仿宋" w:eastAsia="仿宋" w:hAnsi="仿宋"/>
          <w:sz w:val="32"/>
          <w:szCs w:val="32"/>
        </w:rPr>
      </w:pPr>
      <w:r>
        <w:rPr>
          <w:rFonts w:ascii="仿宋" w:eastAsia="仿宋" w:hAnsi="仿宋" w:hint="eastAsia"/>
          <w:sz w:val="32"/>
          <w:szCs w:val="32"/>
        </w:rPr>
        <w:t>2.价格违法行为。是否存在压级压价、抬级抬价行为，最低收购价格政策和明码标价执行情况。是否存在滥用市场支配地位以不公平高价销售粮食或者以不公平低价收购粮食。是否达成垄断协议。</w:t>
      </w:r>
    </w:p>
    <w:p w:rsidR="00677D54" w:rsidRDefault="00941609">
      <w:pPr>
        <w:adjustRightInd/>
        <w:snapToGrid/>
        <w:ind w:firstLineChars="200" w:firstLine="640"/>
        <w:rPr>
          <w:rFonts w:ascii="仿宋" w:eastAsia="仿宋" w:hAnsi="仿宋"/>
          <w:sz w:val="32"/>
          <w:szCs w:val="32"/>
        </w:rPr>
      </w:pPr>
      <w:r>
        <w:rPr>
          <w:rFonts w:ascii="仿宋" w:eastAsia="仿宋" w:hAnsi="仿宋" w:hint="eastAsia"/>
          <w:sz w:val="32"/>
          <w:szCs w:val="32"/>
        </w:rPr>
        <w:lastRenderedPageBreak/>
        <w:t>3.计量违法行为。是否存在使用不合格计量器具或者破坏计量器具准确度等计量违法违规行为。</w:t>
      </w:r>
    </w:p>
    <w:p w:rsidR="00677D54" w:rsidRDefault="00941609">
      <w:pPr>
        <w:adjustRightInd/>
        <w:snapToGrid/>
        <w:ind w:firstLineChars="200" w:firstLine="640"/>
        <w:rPr>
          <w:rFonts w:ascii="仿宋" w:eastAsia="仿宋" w:hAnsi="仿宋"/>
          <w:sz w:val="32"/>
          <w:szCs w:val="32"/>
        </w:rPr>
      </w:pPr>
      <w:r>
        <w:rPr>
          <w:rFonts w:ascii="仿宋" w:eastAsia="仿宋" w:hAnsi="仿宋" w:hint="eastAsia"/>
          <w:sz w:val="32"/>
          <w:szCs w:val="32"/>
        </w:rPr>
        <w:t>4.食品安全违法行为。是否符合食品安全法律、法规和标准规定的条件和要求。</w:t>
      </w:r>
    </w:p>
    <w:p w:rsidR="00677D54" w:rsidRDefault="00941609">
      <w:pPr>
        <w:adjustRightInd/>
        <w:snapToGrid/>
        <w:ind w:firstLineChars="200" w:firstLine="640"/>
        <w:rPr>
          <w:rFonts w:ascii="仿宋" w:eastAsia="仿宋" w:hAnsi="仿宋"/>
          <w:sz w:val="32"/>
          <w:szCs w:val="32"/>
        </w:rPr>
      </w:pPr>
      <w:r>
        <w:rPr>
          <w:rFonts w:ascii="仿宋" w:eastAsia="仿宋" w:hAnsi="仿宋" w:hint="eastAsia"/>
          <w:sz w:val="32"/>
          <w:szCs w:val="32"/>
        </w:rPr>
        <w:t>5.扰乱市场经营秩序行为。是否存在短斤少两、掺杂使假、以次充好，囤积居奇、垄断或者操纵粮食价格、欺行霸市等扰乱市场秩序和违法违规交易的行为。</w:t>
      </w:r>
    </w:p>
    <w:p w:rsidR="00677D54" w:rsidRDefault="00941609">
      <w:pPr>
        <w:adjustRightInd/>
        <w:snapToGrid/>
        <w:ind w:firstLineChars="200" w:firstLine="640"/>
        <w:rPr>
          <w:rFonts w:ascii="仿宋" w:eastAsia="仿宋" w:hAnsi="仿宋"/>
          <w:sz w:val="32"/>
          <w:szCs w:val="32"/>
        </w:rPr>
      </w:pPr>
      <w:r>
        <w:rPr>
          <w:rFonts w:ascii="仿宋" w:eastAsia="仿宋" w:hAnsi="仿宋" w:hint="eastAsia"/>
          <w:sz w:val="32"/>
          <w:szCs w:val="32"/>
        </w:rPr>
        <w:t>6.其他违反市场监督管理法律法规行为。</w:t>
      </w:r>
    </w:p>
    <w:p w:rsidR="00677D54" w:rsidRDefault="00941609">
      <w:pPr>
        <w:adjustRightInd/>
        <w:snapToGrid/>
        <w:ind w:firstLineChars="200" w:firstLine="643"/>
        <w:rPr>
          <w:rFonts w:asciiTheme="majorEastAsia" w:eastAsiaTheme="majorEastAsia" w:hAnsiTheme="majorEastAsia"/>
          <w:b/>
          <w:sz w:val="32"/>
          <w:szCs w:val="32"/>
        </w:rPr>
      </w:pPr>
      <w:r>
        <w:rPr>
          <w:rFonts w:asciiTheme="majorEastAsia" w:eastAsiaTheme="majorEastAsia" w:hAnsiTheme="majorEastAsia" w:hint="eastAsia"/>
          <w:b/>
          <w:sz w:val="32"/>
          <w:szCs w:val="32"/>
        </w:rPr>
        <w:t>三、整治工作要求</w:t>
      </w:r>
    </w:p>
    <w:p w:rsidR="00677D54" w:rsidRDefault="00941609">
      <w:pPr>
        <w:adjustRightInd/>
        <w:snapToGrid/>
        <w:ind w:firstLineChars="200" w:firstLine="640"/>
        <w:rPr>
          <w:rFonts w:ascii="仿宋" w:eastAsia="仿宋" w:hAnsi="仿宋"/>
          <w:sz w:val="32"/>
          <w:szCs w:val="32"/>
        </w:rPr>
      </w:pPr>
      <w:r>
        <w:rPr>
          <w:rFonts w:ascii="仿宋" w:eastAsia="仿宋" w:hAnsi="仿宋" w:hint="eastAsia"/>
          <w:sz w:val="32"/>
          <w:szCs w:val="32"/>
        </w:rPr>
        <w:t>（一）提高思想认识。粮食市场监管事关国家安全、国计民生，各单位要进一步提高政治站位，认真贯彻落实习近平总书记关于国家粮食安全系列重要讲话和根治粮食购销系统性腐败的重要指示批示精神，充分认识加强粮食市场监管的重要性和必要性，坚持把粮食市场监管作为市场监督管理的重要工作抓实、抓好。</w:t>
      </w:r>
    </w:p>
    <w:p w:rsidR="00677D54" w:rsidRDefault="00941609">
      <w:pPr>
        <w:adjustRightInd/>
        <w:snapToGrid/>
        <w:ind w:firstLineChars="200" w:firstLine="640"/>
        <w:rPr>
          <w:rFonts w:ascii="仿宋" w:eastAsia="仿宋" w:hAnsi="仿宋"/>
          <w:sz w:val="32"/>
          <w:szCs w:val="32"/>
        </w:rPr>
      </w:pPr>
      <w:r>
        <w:rPr>
          <w:rFonts w:ascii="仿宋" w:eastAsia="仿宋" w:hAnsi="仿宋" w:hint="eastAsia"/>
          <w:sz w:val="32"/>
          <w:szCs w:val="32"/>
        </w:rPr>
        <w:t>（二）强化组织领导。为加强专项整治工作的组织领导，局党组决定成立粮食市场秩序专项整治工作专班。各单位要高度重视此次专项整治工作，切实加强组织领导，各市场监管所、执法大队要认真梳理市场监督管理行政执法职责，开展自查自纠，严防监管缺失缺位、履职不公、执法不严、失职失责等责任问题。要建立工作台账制度，对辖区内涉粮经营者进行“拉网式”检查，不留死角盲区，坚持边查边改</w:t>
      </w:r>
      <w:r>
        <w:rPr>
          <w:rFonts w:ascii="仿宋" w:eastAsia="仿宋" w:hAnsi="仿宋" w:hint="eastAsia"/>
          <w:sz w:val="32"/>
          <w:szCs w:val="32"/>
        </w:rPr>
        <w:lastRenderedPageBreak/>
        <w:t>边治，对检查中发现的问题要从重、从严、从快查处。专项整治结束后，转入常态化监督管理，力求取得持久性成效。</w:t>
      </w:r>
    </w:p>
    <w:p w:rsidR="00677D54" w:rsidRDefault="00941609">
      <w:pPr>
        <w:adjustRightInd/>
        <w:snapToGrid/>
        <w:ind w:firstLineChars="200" w:firstLine="640"/>
        <w:rPr>
          <w:rFonts w:ascii="仿宋" w:eastAsia="仿宋" w:hAnsi="仿宋"/>
          <w:sz w:val="32"/>
          <w:szCs w:val="32"/>
        </w:rPr>
      </w:pPr>
      <w:r>
        <w:rPr>
          <w:rFonts w:ascii="仿宋" w:eastAsia="仿宋" w:hAnsi="仿宋" w:hint="eastAsia"/>
          <w:sz w:val="32"/>
          <w:szCs w:val="32"/>
        </w:rPr>
        <w:t>（三）注重工作街接。各单位要在局党组领导下开展工作，服从统一安排，与涉粮问题专项巡察结合起来。各职能科室做好业务指导，对粮食购销相关法律、法规和政策及时会商、精准把握。要强化行纪衔接，检查中发现的责任、作风、腐败问题等违规违纪线索及时移交纪检监察部门。</w:t>
      </w:r>
    </w:p>
    <w:p w:rsidR="00677D54" w:rsidRDefault="00941609">
      <w:pPr>
        <w:adjustRightInd/>
        <w:snapToGrid/>
        <w:ind w:firstLineChars="200" w:firstLine="640"/>
        <w:rPr>
          <w:rFonts w:ascii="仿宋" w:eastAsia="仿宋" w:hAnsi="仿宋"/>
          <w:sz w:val="32"/>
          <w:szCs w:val="32"/>
        </w:rPr>
      </w:pPr>
      <w:r>
        <w:rPr>
          <w:rFonts w:ascii="仿宋" w:eastAsia="仿宋" w:hAnsi="仿宋" w:hint="eastAsia"/>
          <w:sz w:val="32"/>
          <w:szCs w:val="32"/>
        </w:rPr>
        <w:t>（四）加强宣传引导。要适时进行提醒告诫，引导粮食经营者自觉加强行业自律，规范自身经营行为。要做好政策解读，通过广播、电视、报刊、互联网新媒体等多种媒介正面宣传，形成良好社会氛围。畅通12315平台及12345政务服务热线，及时处置涉粮投诉举报，公开曝光重大案件、典型案例，发挥震慑作用和警示效应 。</w:t>
      </w:r>
    </w:p>
    <w:p w:rsidR="00677D54" w:rsidRDefault="00941609">
      <w:pPr>
        <w:adjustRightInd/>
        <w:snapToGrid/>
        <w:ind w:firstLineChars="200" w:firstLine="640"/>
        <w:jc w:val="both"/>
        <w:rPr>
          <w:rFonts w:ascii="仿宋" w:eastAsia="仿宋" w:hAnsi="仿宋"/>
          <w:sz w:val="32"/>
          <w:szCs w:val="32"/>
        </w:rPr>
      </w:pPr>
      <w:r>
        <w:rPr>
          <w:rFonts w:ascii="仿宋" w:eastAsia="仿宋" w:hAnsi="仿宋" w:hint="eastAsia"/>
          <w:sz w:val="32"/>
          <w:szCs w:val="32"/>
        </w:rPr>
        <w:t>（五）加强信息报送。各市场监管所、执法大队每月21日前将当月工作进展情况报送工作专班办公室（联系电话：5972831 邮箱：tzjgjdjc@163.com），并填报《</w:t>
      </w:r>
      <w:r>
        <w:rPr>
          <w:rFonts w:ascii="华文仿宋" w:eastAsia="华文仿宋" w:hAnsi="华文仿宋" w:cs="华文仿宋" w:hint="eastAsia"/>
          <w:sz w:val="32"/>
          <w:szCs w:val="32"/>
        </w:rPr>
        <w:t>粮食市场秩序专项整治工作统计表》。</w:t>
      </w:r>
      <w:r>
        <w:rPr>
          <w:rFonts w:ascii="仿宋" w:eastAsia="仿宋" w:hAnsi="仿宋" w:hint="eastAsia"/>
          <w:sz w:val="32"/>
          <w:szCs w:val="32"/>
        </w:rPr>
        <w:t>2022年1月15日前上报检查阶段工作报告，2022年5月15日前报送工作总结报告。遇到重大情况或重大案件随时报告。</w:t>
      </w:r>
    </w:p>
    <w:p w:rsidR="00677D54" w:rsidRDefault="00941609">
      <w:pPr>
        <w:adjustRightInd/>
        <w:snapToGrid/>
        <w:ind w:firstLineChars="200" w:firstLine="640"/>
        <w:jc w:val="both"/>
        <w:rPr>
          <w:rFonts w:ascii="华文仿宋" w:eastAsia="华文仿宋" w:hAnsi="华文仿宋" w:cs="华文仿宋"/>
          <w:sz w:val="32"/>
          <w:szCs w:val="32"/>
        </w:rPr>
      </w:pPr>
      <w:r>
        <w:rPr>
          <w:rFonts w:ascii="仿宋" w:eastAsia="仿宋" w:hAnsi="仿宋" w:hint="eastAsia"/>
          <w:sz w:val="32"/>
          <w:szCs w:val="32"/>
        </w:rPr>
        <w:t>附：</w:t>
      </w:r>
      <w:r>
        <w:rPr>
          <w:rFonts w:ascii="华文仿宋" w:eastAsia="华文仿宋" w:hAnsi="华文仿宋" w:cs="华文仿宋" w:hint="eastAsia"/>
          <w:sz w:val="32"/>
          <w:szCs w:val="32"/>
        </w:rPr>
        <w:t>一、粮食市场秩序专项整治工作专班名单</w:t>
      </w:r>
    </w:p>
    <w:p w:rsidR="00677D54" w:rsidRDefault="00941609">
      <w:pPr>
        <w:adjustRightInd/>
        <w:snapToGrid/>
        <w:ind w:firstLineChars="200" w:firstLine="640"/>
        <w:jc w:val="both"/>
        <w:rPr>
          <w:rFonts w:ascii="华文仿宋" w:eastAsia="华文仿宋" w:hAnsi="华文仿宋" w:cs="华文仿宋"/>
          <w:sz w:val="32"/>
          <w:szCs w:val="32"/>
        </w:rPr>
      </w:pPr>
      <w:r>
        <w:rPr>
          <w:rFonts w:ascii="华文仿宋" w:eastAsia="华文仿宋" w:hAnsi="华文仿宋" w:cs="华文仿宋" w:hint="eastAsia"/>
          <w:sz w:val="32"/>
          <w:szCs w:val="32"/>
        </w:rPr>
        <w:t xml:space="preserve">    二、粮食市场秩序专项整治工作统计表</w:t>
      </w:r>
    </w:p>
    <w:p w:rsidR="00677D54" w:rsidRDefault="00677D54">
      <w:pPr>
        <w:adjustRightInd/>
        <w:snapToGrid/>
        <w:ind w:firstLineChars="200" w:firstLine="640"/>
        <w:rPr>
          <w:rFonts w:ascii="仿宋" w:eastAsia="仿宋" w:hAnsi="仿宋"/>
          <w:sz w:val="32"/>
          <w:szCs w:val="32"/>
        </w:rPr>
      </w:pPr>
    </w:p>
    <w:p w:rsidR="00677D54" w:rsidRDefault="00677D54">
      <w:pPr>
        <w:adjustRightInd/>
        <w:snapToGrid/>
        <w:ind w:firstLineChars="200" w:firstLine="640"/>
        <w:rPr>
          <w:rFonts w:ascii="仿宋" w:eastAsia="仿宋" w:hAnsi="仿宋"/>
          <w:sz w:val="32"/>
          <w:szCs w:val="32"/>
        </w:rPr>
      </w:pPr>
    </w:p>
    <w:p w:rsidR="00677D54" w:rsidRDefault="00941609">
      <w:pPr>
        <w:adjustRightInd/>
        <w:snapToGrid/>
        <w:ind w:firstLineChars="1300" w:firstLine="4160"/>
        <w:rPr>
          <w:rFonts w:ascii="华文仿宋" w:eastAsia="华文仿宋" w:hAnsi="华文仿宋" w:cs="华文仿宋"/>
          <w:bCs/>
          <w:sz w:val="32"/>
          <w:szCs w:val="32"/>
        </w:rPr>
      </w:pPr>
      <w:r>
        <w:rPr>
          <w:rFonts w:ascii="华文仿宋" w:eastAsia="华文仿宋" w:hAnsi="华文仿宋" w:cs="华文仿宋" w:hint="eastAsia"/>
          <w:bCs/>
          <w:sz w:val="32"/>
          <w:szCs w:val="32"/>
        </w:rPr>
        <w:t>滕州市市场监督管理局</w:t>
      </w:r>
    </w:p>
    <w:p w:rsidR="00677D54" w:rsidRDefault="00941609">
      <w:pPr>
        <w:adjustRightInd/>
        <w:snapToGrid/>
        <w:ind w:firstLineChars="1500" w:firstLine="4800"/>
        <w:rPr>
          <w:rFonts w:ascii="华文仿宋" w:eastAsia="华文仿宋" w:hAnsi="华文仿宋" w:cs="华文仿宋"/>
          <w:bCs/>
          <w:sz w:val="32"/>
          <w:szCs w:val="32"/>
        </w:rPr>
      </w:pPr>
      <w:r>
        <w:rPr>
          <w:rFonts w:ascii="华文仿宋" w:eastAsia="华文仿宋" w:hAnsi="华文仿宋" w:cs="华文仿宋" w:hint="eastAsia"/>
          <w:bCs/>
          <w:sz w:val="32"/>
          <w:szCs w:val="32"/>
        </w:rPr>
        <w:t>2021年9月29日</w:t>
      </w:r>
    </w:p>
    <w:p w:rsidR="00677D54" w:rsidRDefault="00677D54">
      <w:pPr>
        <w:adjustRightInd/>
        <w:snapToGrid/>
        <w:rPr>
          <w:rFonts w:ascii="宋体" w:hAnsi="宋体" w:cs="宋体"/>
          <w:bCs/>
          <w:sz w:val="32"/>
          <w:szCs w:val="32"/>
        </w:rPr>
      </w:pPr>
    </w:p>
    <w:p w:rsidR="00677D54" w:rsidRDefault="00941609">
      <w:pPr>
        <w:adjustRightInd/>
        <w:snapToGrid/>
        <w:rPr>
          <w:rFonts w:ascii="宋体" w:hAnsi="宋体" w:cs="宋体"/>
          <w:bCs/>
          <w:sz w:val="32"/>
          <w:szCs w:val="32"/>
        </w:rPr>
      </w:pPr>
      <w:r>
        <w:rPr>
          <w:rFonts w:ascii="宋体" w:hAnsi="宋体" w:cs="宋体" w:hint="eastAsia"/>
          <w:bCs/>
          <w:sz w:val="32"/>
          <w:szCs w:val="32"/>
        </w:rPr>
        <w:t>附件1：</w:t>
      </w:r>
    </w:p>
    <w:p w:rsidR="00677D54" w:rsidRDefault="00677D54">
      <w:pPr>
        <w:adjustRightInd/>
        <w:snapToGrid/>
        <w:ind w:firstLineChars="200" w:firstLine="723"/>
        <w:jc w:val="center"/>
        <w:rPr>
          <w:rFonts w:ascii="宋体" w:hAnsi="宋体" w:cs="宋体"/>
          <w:b/>
          <w:sz w:val="36"/>
          <w:szCs w:val="36"/>
        </w:rPr>
      </w:pPr>
    </w:p>
    <w:p w:rsidR="00677D54" w:rsidRDefault="00941609">
      <w:pPr>
        <w:adjustRightInd/>
        <w:snapToGrid/>
        <w:ind w:firstLineChars="200" w:firstLine="723"/>
        <w:jc w:val="center"/>
        <w:rPr>
          <w:rFonts w:ascii="宋体" w:hAnsi="宋体" w:cs="宋体"/>
          <w:b/>
          <w:sz w:val="36"/>
          <w:szCs w:val="36"/>
        </w:rPr>
      </w:pPr>
      <w:r>
        <w:rPr>
          <w:rFonts w:ascii="宋体" w:hAnsi="宋体" w:cs="宋体" w:hint="eastAsia"/>
          <w:b/>
          <w:sz w:val="36"/>
          <w:szCs w:val="36"/>
        </w:rPr>
        <w:t>滕州市市场监督管理局</w:t>
      </w:r>
    </w:p>
    <w:p w:rsidR="00677D54" w:rsidRDefault="00941609">
      <w:pPr>
        <w:adjustRightInd/>
        <w:snapToGrid/>
        <w:ind w:firstLineChars="200" w:firstLine="723"/>
        <w:jc w:val="center"/>
        <w:rPr>
          <w:rFonts w:ascii="宋体" w:hAnsi="宋体" w:cs="宋体"/>
          <w:b/>
          <w:sz w:val="36"/>
          <w:szCs w:val="36"/>
        </w:rPr>
      </w:pPr>
      <w:r>
        <w:rPr>
          <w:rFonts w:ascii="宋体" w:hAnsi="宋体" w:cs="宋体" w:hint="eastAsia"/>
          <w:b/>
          <w:sz w:val="36"/>
          <w:szCs w:val="36"/>
        </w:rPr>
        <w:t>粮食市场秩序专项整治工作专班名单</w:t>
      </w:r>
    </w:p>
    <w:p w:rsidR="00677D54" w:rsidRDefault="00677D54">
      <w:pPr>
        <w:adjustRightInd/>
        <w:snapToGrid/>
        <w:ind w:firstLineChars="200" w:firstLine="420"/>
        <w:rPr>
          <w:rFonts w:ascii="华文仿宋" w:eastAsia="华文仿宋" w:hAnsi="华文仿宋" w:cs="华文仿宋"/>
          <w:bCs/>
        </w:rPr>
      </w:pPr>
    </w:p>
    <w:p w:rsidR="00677D54" w:rsidRDefault="00677D54">
      <w:pPr>
        <w:adjustRightInd/>
        <w:snapToGrid/>
        <w:ind w:firstLineChars="200" w:firstLine="220"/>
        <w:rPr>
          <w:rFonts w:ascii="华文仿宋" w:eastAsia="华文仿宋" w:hAnsi="华文仿宋" w:cs="华文仿宋"/>
          <w:bCs/>
          <w:sz w:val="11"/>
          <w:szCs w:val="11"/>
        </w:rPr>
      </w:pPr>
    </w:p>
    <w:p w:rsidR="00677D54" w:rsidRDefault="00941609">
      <w:pPr>
        <w:adjustRightInd/>
        <w:snapToGrid/>
        <w:ind w:firstLineChars="200" w:firstLine="640"/>
        <w:rPr>
          <w:rFonts w:ascii="华文仿宋" w:eastAsia="华文仿宋" w:hAnsi="华文仿宋" w:cs="华文仿宋"/>
          <w:bCs/>
          <w:sz w:val="32"/>
          <w:szCs w:val="32"/>
        </w:rPr>
      </w:pPr>
      <w:r>
        <w:rPr>
          <w:rFonts w:ascii="华文仿宋" w:eastAsia="华文仿宋" w:hAnsi="华文仿宋" w:cs="华文仿宋" w:hint="eastAsia"/>
          <w:bCs/>
          <w:sz w:val="32"/>
          <w:szCs w:val="32"/>
        </w:rPr>
        <w:t>一、组  长：朱秋原</w:t>
      </w:r>
    </w:p>
    <w:p w:rsidR="00677D54" w:rsidRDefault="00941609">
      <w:pPr>
        <w:adjustRightInd/>
        <w:snapToGrid/>
        <w:ind w:firstLineChars="200" w:firstLine="640"/>
        <w:rPr>
          <w:rFonts w:ascii="华文仿宋" w:eastAsia="华文仿宋" w:hAnsi="华文仿宋" w:cs="华文仿宋"/>
          <w:bCs/>
          <w:sz w:val="32"/>
          <w:szCs w:val="32"/>
        </w:rPr>
      </w:pPr>
      <w:r>
        <w:rPr>
          <w:rFonts w:ascii="华文仿宋" w:eastAsia="华文仿宋" w:hAnsi="华文仿宋" w:cs="华文仿宋" w:hint="eastAsia"/>
          <w:bCs/>
          <w:sz w:val="32"/>
          <w:szCs w:val="32"/>
        </w:rPr>
        <w:t>二、副组长：厉  强廉士柱马全运战  勇 颜道立孙  杰孙彦飞</w:t>
      </w:r>
    </w:p>
    <w:p w:rsidR="00677D54" w:rsidRDefault="00941609">
      <w:pPr>
        <w:adjustRightInd/>
        <w:snapToGrid/>
        <w:ind w:firstLineChars="200" w:firstLine="640"/>
        <w:rPr>
          <w:rFonts w:ascii="华文仿宋" w:eastAsia="华文仿宋" w:hAnsi="华文仿宋" w:cs="华文仿宋"/>
          <w:bCs/>
          <w:sz w:val="32"/>
          <w:szCs w:val="32"/>
        </w:rPr>
      </w:pPr>
      <w:r>
        <w:rPr>
          <w:rFonts w:ascii="华文仿宋" w:eastAsia="华文仿宋" w:hAnsi="华文仿宋" w:cs="华文仿宋" w:hint="eastAsia"/>
          <w:bCs/>
          <w:sz w:val="32"/>
          <w:szCs w:val="32"/>
        </w:rPr>
        <w:t>三、成员：党建办公室、行政办公室、监察室、人事科、法规科、调研室、价监竞争科、信用监管科、计量科、食品生产科、食品流通科、餐饮科、注册登记指导科、市场科、12315指挥中心、执法大队主要负责人。</w:t>
      </w:r>
    </w:p>
    <w:p w:rsidR="00677D54" w:rsidRDefault="00941609">
      <w:pPr>
        <w:adjustRightInd/>
        <w:snapToGrid/>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工作专班下设办公室（办公室设在价监竞争科），负责粮食市场秩序专项整治日常工作；局属相关单位按照各自职责分工负责抓好专项整治具体工作。</w:t>
      </w:r>
    </w:p>
    <w:p w:rsidR="00677D54" w:rsidRDefault="00677D54">
      <w:pPr>
        <w:jc w:val="center"/>
        <w:rPr>
          <w:rFonts w:ascii="宋体" w:hAnsi="宋体"/>
          <w:b/>
          <w:sz w:val="36"/>
          <w:szCs w:val="36"/>
        </w:rPr>
      </w:pPr>
    </w:p>
    <w:p w:rsidR="00677D54" w:rsidRDefault="00677D54">
      <w:pPr>
        <w:jc w:val="center"/>
        <w:rPr>
          <w:rFonts w:ascii="宋体" w:hAnsi="宋体"/>
          <w:b/>
          <w:sz w:val="36"/>
          <w:szCs w:val="36"/>
        </w:rPr>
      </w:pPr>
    </w:p>
    <w:p w:rsidR="00677D54" w:rsidRDefault="00677D54">
      <w:pPr>
        <w:jc w:val="center"/>
        <w:rPr>
          <w:rFonts w:ascii="宋体" w:hAnsi="宋体"/>
          <w:b/>
          <w:sz w:val="36"/>
          <w:szCs w:val="36"/>
        </w:rPr>
      </w:pPr>
    </w:p>
    <w:p w:rsidR="00677D54" w:rsidRDefault="00677D54">
      <w:pPr>
        <w:jc w:val="center"/>
        <w:rPr>
          <w:rFonts w:ascii="宋体" w:hAnsi="宋体"/>
          <w:b/>
          <w:sz w:val="36"/>
          <w:szCs w:val="36"/>
        </w:rPr>
      </w:pPr>
    </w:p>
    <w:p w:rsidR="00677D54" w:rsidRDefault="00677D54">
      <w:pPr>
        <w:jc w:val="center"/>
        <w:rPr>
          <w:rFonts w:ascii="宋体" w:hAnsi="宋体"/>
          <w:b/>
          <w:sz w:val="36"/>
          <w:szCs w:val="36"/>
        </w:rPr>
      </w:pPr>
    </w:p>
    <w:p w:rsidR="00677D54" w:rsidRDefault="00677D54">
      <w:pPr>
        <w:jc w:val="center"/>
        <w:rPr>
          <w:rFonts w:ascii="宋体" w:hAnsi="宋体"/>
          <w:b/>
          <w:sz w:val="36"/>
          <w:szCs w:val="36"/>
        </w:rPr>
      </w:pPr>
    </w:p>
    <w:p w:rsidR="00677D54" w:rsidRDefault="00677D54">
      <w:pPr>
        <w:jc w:val="center"/>
        <w:rPr>
          <w:rFonts w:ascii="宋体" w:hAnsi="宋体"/>
          <w:b/>
          <w:sz w:val="36"/>
          <w:szCs w:val="36"/>
        </w:rPr>
      </w:pPr>
    </w:p>
    <w:p w:rsidR="00677D54" w:rsidRDefault="00677D54">
      <w:pPr>
        <w:jc w:val="center"/>
        <w:rPr>
          <w:rFonts w:ascii="宋体" w:hAnsi="宋体"/>
          <w:b/>
          <w:sz w:val="36"/>
          <w:szCs w:val="36"/>
        </w:rPr>
      </w:pPr>
    </w:p>
    <w:p w:rsidR="00677D54" w:rsidRDefault="00677D54">
      <w:pPr>
        <w:adjustRightInd/>
        <w:snapToGrid/>
        <w:rPr>
          <w:rFonts w:ascii="宋体" w:hAnsi="宋体" w:cs="宋体"/>
          <w:bCs/>
          <w:sz w:val="32"/>
          <w:szCs w:val="32"/>
        </w:rPr>
      </w:pPr>
    </w:p>
    <w:p w:rsidR="00677D54" w:rsidRDefault="00941609">
      <w:pPr>
        <w:adjustRightInd/>
        <w:snapToGrid/>
        <w:rPr>
          <w:rFonts w:ascii="宋体" w:hAnsi="宋体"/>
          <w:b/>
          <w:sz w:val="36"/>
          <w:szCs w:val="36"/>
        </w:rPr>
      </w:pPr>
      <w:bookmarkStart w:id="0" w:name="_GoBack"/>
      <w:bookmarkEnd w:id="0"/>
      <w:r>
        <w:rPr>
          <w:rFonts w:ascii="宋体" w:hAnsi="宋体" w:cs="宋体" w:hint="eastAsia"/>
          <w:bCs/>
          <w:sz w:val="32"/>
          <w:szCs w:val="32"/>
        </w:rPr>
        <w:t>附件2：</w:t>
      </w:r>
    </w:p>
    <w:p w:rsidR="00677D54" w:rsidRDefault="00941609">
      <w:pPr>
        <w:jc w:val="center"/>
        <w:rPr>
          <w:rFonts w:ascii="宋体" w:hAnsi="宋体"/>
          <w:b/>
          <w:sz w:val="36"/>
          <w:szCs w:val="36"/>
        </w:rPr>
      </w:pPr>
      <w:r>
        <w:rPr>
          <w:rFonts w:ascii="宋体" w:hAnsi="宋体" w:hint="eastAsia"/>
          <w:b/>
          <w:sz w:val="36"/>
          <w:szCs w:val="36"/>
        </w:rPr>
        <w:t>滕州市市场监督管理局</w:t>
      </w:r>
    </w:p>
    <w:p w:rsidR="00677D54" w:rsidRDefault="00941609">
      <w:pPr>
        <w:jc w:val="center"/>
        <w:rPr>
          <w:rFonts w:ascii="宋体" w:hAnsi="宋体"/>
          <w:b/>
          <w:sz w:val="28"/>
          <w:szCs w:val="28"/>
        </w:rPr>
      </w:pPr>
      <w:r>
        <w:rPr>
          <w:rFonts w:ascii="宋体" w:hAnsi="宋体" w:hint="eastAsia"/>
          <w:b/>
          <w:sz w:val="36"/>
          <w:szCs w:val="36"/>
        </w:rPr>
        <w:t>粮食市场秩序专项整治工作统计表</w:t>
      </w:r>
    </w:p>
    <w:p w:rsidR="00677D54" w:rsidRDefault="00677D54">
      <w:pPr>
        <w:jc w:val="center"/>
        <w:rPr>
          <w:rFonts w:ascii="宋体" w:hAnsi="宋体"/>
          <w:b/>
          <w:sz w:val="24"/>
          <w:szCs w:val="24"/>
        </w:rPr>
      </w:pPr>
    </w:p>
    <w:p w:rsidR="00677D54" w:rsidRDefault="00941609">
      <w:pPr>
        <w:rPr>
          <w:rFonts w:ascii="宋体" w:hAnsi="宋体"/>
          <w:sz w:val="30"/>
          <w:szCs w:val="30"/>
        </w:rPr>
      </w:pPr>
      <w:r>
        <w:rPr>
          <w:rFonts w:ascii="宋体" w:hAnsi="宋体" w:hint="eastAsia"/>
          <w:sz w:val="30"/>
          <w:szCs w:val="30"/>
        </w:rPr>
        <w:t>单位：                         年    月    日</w:t>
      </w:r>
    </w:p>
    <w:p w:rsidR="00677D54" w:rsidRDefault="00677D54">
      <w:pPr>
        <w:rPr>
          <w:rFonts w:ascii="宋体" w:hAnsi="宋体"/>
          <w:sz w:val="13"/>
          <w:szCs w:val="13"/>
        </w:rPr>
      </w:pPr>
    </w:p>
    <w:tbl>
      <w:tblPr>
        <w:tblStyle w:val="a5"/>
        <w:tblW w:w="8693" w:type="dxa"/>
        <w:jc w:val="center"/>
        <w:tblLook w:val="04A0"/>
      </w:tblPr>
      <w:tblGrid>
        <w:gridCol w:w="1040"/>
        <w:gridCol w:w="2960"/>
        <w:gridCol w:w="4693"/>
      </w:tblGrid>
      <w:tr w:rsidR="00677D54">
        <w:trPr>
          <w:trHeight w:val="939"/>
          <w:jc w:val="center"/>
        </w:trPr>
        <w:tc>
          <w:tcPr>
            <w:tcW w:w="4000" w:type="dxa"/>
            <w:gridSpan w:val="2"/>
            <w:vAlign w:val="center"/>
          </w:tcPr>
          <w:p w:rsidR="00677D54" w:rsidRDefault="00941609">
            <w:pPr>
              <w:jc w:val="center"/>
              <w:rPr>
                <w:rFonts w:ascii="华文仿宋" w:eastAsia="华文仿宋" w:hAnsi="华文仿宋" w:cs="华文仿宋"/>
                <w:sz w:val="30"/>
                <w:szCs w:val="30"/>
              </w:rPr>
            </w:pPr>
            <w:r>
              <w:rPr>
                <w:rFonts w:ascii="华文仿宋" w:eastAsia="华文仿宋" w:hAnsi="华文仿宋" w:cs="华文仿宋" w:hint="eastAsia"/>
                <w:sz w:val="30"/>
                <w:szCs w:val="30"/>
              </w:rPr>
              <w:t>检查单位数量</w:t>
            </w:r>
          </w:p>
        </w:tc>
        <w:tc>
          <w:tcPr>
            <w:tcW w:w="4693" w:type="dxa"/>
            <w:vAlign w:val="center"/>
          </w:tcPr>
          <w:p w:rsidR="00677D54" w:rsidRDefault="00677D54">
            <w:pPr>
              <w:jc w:val="center"/>
              <w:rPr>
                <w:rFonts w:ascii="华文仿宋" w:eastAsia="华文仿宋" w:hAnsi="华文仿宋" w:cs="华文仿宋"/>
                <w:sz w:val="30"/>
                <w:szCs w:val="30"/>
              </w:rPr>
            </w:pPr>
          </w:p>
          <w:p w:rsidR="00677D54" w:rsidRDefault="00941609">
            <w:pPr>
              <w:jc w:val="both"/>
              <w:rPr>
                <w:rFonts w:ascii="华文仿宋" w:eastAsia="华文仿宋" w:hAnsi="华文仿宋" w:cs="华文仿宋"/>
                <w:sz w:val="30"/>
                <w:szCs w:val="30"/>
              </w:rPr>
            </w:pPr>
            <w:r>
              <w:rPr>
                <w:rFonts w:ascii="华文仿宋" w:eastAsia="华文仿宋" w:hAnsi="华文仿宋" w:cs="华文仿宋" w:hint="eastAsia"/>
                <w:sz w:val="30"/>
                <w:szCs w:val="30"/>
              </w:rPr>
              <w:t>国有企业：   家；个体私营：   家</w:t>
            </w:r>
          </w:p>
        </w:tc>
      </w:tr>
      <w:tr w:rsidR="00677D54">
        <w:trPr>
          <w:trHeight w:val="939"/>
          <w:jc w:val="center"/>
        </w:trPr>
        <w:tc>
          <w:tcPr>
            <w:tcW w:w="4000" w:type="dxa"/>
            <w:gridSpan w:val="2"/>
            <w:vAlign w:val="center"/>
          </w:tcPr>
          <w:p w:rsidR="00677D54" w:rsidRDefault="00941609">
            <w:pPr>
              <w:jc w:val="center"/>
              <w:rPr>
                <w:rFonts w:ascii="华文仿宋" w:eastAsia="华文仿宋" w:hAnsi="华文仿宋" w:cs="华文仿宋"/>
                <w:sz w:val="30"/>
                <w:szCs w:val="30"/>
              </w:rPr>
            </w:pPr>
            <w:r>
              <w:rPr>
                <w:rFonts w:ascii="华文仿宋" w:eastAsia="华文仿宋" w:hAnsi="华文仿宋" w:cs="华文仿宋" w:hint="eastAsia"/>
                <w:sz w:val="30"/>
                <w:szCs w:val="30"/>
              </w:rPr>
              <w:t>出动检查人数</w:t>
            </w:r>
          </w:p>
        </w:tc>
        <w:tc>
          <w:tcPr>
            <w:tcW w:w="4693" w:type="dxa"/>
            <w:vAlign w:val="center"/>
          </w:tcPr>
          <w:p w:rsidR="00677D54" w:rsidRDefault="00677D54">
            <w:pPr>
              <w:jc w:val="center"/>
              <w:rPr>
                <w:rFonts w:ascii="华文仿宋" w:eastAsia="华文仿宋" w:hAnsi="华文仿宋" w:cs="华文仿宋"/>
                <w:sz w:val="30"/>
                <w:szCs w:val="30"/>
              </w:rPr>
            </w:pPr>
          </w:p>
        </w:tc>
      </w:tr>
      <w:tr w:rsidR="00677D54">
        <w:trPr>
          <w:trHeight w:val="939"/>
          <w:jc w:val="center"/>
        </w:trPr>
        <w:tc>
          <w:tcPr>
            <w:tcW w:w="4000" w:type="dxa"/>
            <w:gridSpan w:val="2"/>
            <w:vAlign w:val="center"/>
          </w:tcPr>
          <w:p w:rsidR="00677D54" w:rsidRDefault="00941609">
            <w:pPr>
              <w:jc w:val="center"/>
              <w:rPr>
                <w:rFonts w:ascii="华文仿宋" w:eastAsia="华文仿宋" w:hAnsi="华文仿宋" w:cs="华文仿宋"/>
                <w:sz w:val="30"/>
                <w:szCs w:val="30"/>
              </w:rPr>
            </w:pPr>
            <w:r>
              <w:rPr>
                <w:rFonts w:ascii="华文仿宋" w:eastAsia="华文仿宋" w:hAnsi="华文仿宋" w:cs="华文仿宋" w:hint="eastAsia"/>
                <w:sz w:val="30"/>
                <w:szCs w:val="30"/>
              </w:rPr>
              <w:t>立案结案数量</w:t>
            </w:r>
          </w:p>
        </w:tc>
        <w:tc>
          <w:tcPr>
            <w:tcW w:w="4693" w:type="dxa"/>
            <w:vAlign w:val="center"/>
          </w:tcPr>
          <w:p w:rsidR="00677D54" w:rsidRDefault="00941609">
            <w:pPr>
              <w:rPr>
                <w:rFonts w:ascii="华文仿宋" w:eastAsia="华文仿宋" w:hAnsi="华文仿宋" w:cs="华文仿宋"/>
                <w:sz w:val="30"/>
                <w:szCs w:val="30"/>
              </w:rPr>
            </w:pPr>
            <w:r>
              <w:rPr>
                <w:rFonts w:ascii="华文仿宋" w:eastAsia="华文仿宋" w:hAnsi="华文仿宋" w:cs="华文仿宋" w:hint="eastAsia"/>
                <w:sz w:val="30"/>
                <w:szCs w:val="30"/>
              </w:rPr>
              <w:t>立案：    起；结案：    起</w:t>
            </w:r>
          </w:p>
        </w:tc>
      </w:tr>
      <w:tr w:rsidR="00677D54">
        <w:trPr>
          <w:trHeight w:val="975"/>
          <w:jc w:val="center"/>
        </w:trPr>
        <w:tc>
          <w:tcPr>
            <w:tcW w:w="1040" w:type="dxa"/>
            <w:vMerge w:val="restart"/>
          </w:tcPr>
          <w:p w:rsidR="00677D54" w:rsidRDefault="00677D54">
            <w:pPr>
              <w:rPr>
                <w:rFonts w:ascii="华文仿宋" w:eastAsia="华文仿宋" w:hAnsi="华文仿宋" w:cs="华文仿宋"/>
                <w:sz w:val="30"/>
                <w:szCs w:val="30"/>
              </w:rPr>
            </w:pPr>
          </w:p>
          <w:p w:rsidR="00677D54" w:rsidRDefault="00941609">
            <w:pPr>
              <w:rPr>
                <w:rFonts w:ascii="华文仿宋" w:eastAsia="华文仿宋" w:hAnsi="华文仿宋" w:cs="华文仿宋"/>
                <w:sz w:val="30"/>
                <w:szCs w:val="30"/>
              </w:rPr>
            </w:pPr>
            <w:r>
              <w:rPr>
                <w:rFonts w:ascii="华文仿宋" w:eastAsia="华文仿宋" w:hAnsi="华文仿宋" w:cs="华文仿宋" w:hint="eastAsia"/>
                <w:sz w:val="30"/>
                <w:szCs w:val="30"/>
              </w:rPr>
              <w:t>其中：</w:t>
            </w:r>
          </w:p>
        </w:tc>
        <w:tc>
          <w:tcPr>
            <w:tcW w:w="2960" w:type="dxa"/>
            <w:vAlign w:val="center"/>
          </w:tcPr>
          <w:p w:rsidR="00677D54" w:rsidRDefault="00941609">
            <w:pPr>
              <w:jc w:val="center"/>
              <w:rPr>
                <w:rFonts w:ascii="华文仿宋" w:eastAsia="华文仿宋" w:hAnsi="华文仿宋" w:cs="华文仿宋"/>
                <w:sz w:val="30"/>
                <w:szCs w:val="30"/>
              </w:rPr>
            </w:pPr>
            <w:r>
              <w:rPr>
                <w:rFonts w:ascii="华文仿宋" w:eastAsia="华文仿宋" w:hAnsi="华文仿宋" w:cs="华文仿宋" w:hint="eastAsia"/>
                <w:sz w:val="30"/>
                <w:szCs w:val="30"/>
              </w:rPr>
              <w:t>无照经营行为</w:t>
            </w:r>
          </w:p>
        </w:tc>
        <w:tc>
          <w:tcPr>
            <w:tcW w:w="4693" w:type="dxa"/>
            <w:vAlign w:val="center"/>
          </w:tcPr>
          <w:p w:rsidR="00677D54" w:rsidRDefault="00941609">
            <w:pPr>
              <w:rPr>
                <w:rFonts w:ascii="华文仿宋" w:eastAsia="华文仿宋" w:hAnsi="华文仿宋" w:cs="华文仿宋"/>
                <w:sz w:val="30"/>
                <w:szCs w:val="30"/>
              </w:rPr>
            </w:pPr>
            <w:r>
              <w:rPr>
                <w:rFonts w:ascii="华文仿宋" w:eastAsia="华文仿宋" w:hAnsi="华文仿宋" w:cs="华文仿宋" w:hint="eastAsia"/>
                <w:sz w:val="30"/>
                <w:szCs w:val="30"/>
              </w:rPr>
              <w:t>立案：    起；结案：    起</w:t>
            </w:r>
          </w:p>
        </w:tc>
      </w:tr>
      <w:tr w:rsidR="00677D54">
        <w:trPr>
          <w:trHeight w:val="939"/>
          <w:jc w:val="center"/>
        </w:trPr>
        <w:tc>
          <w:tcPr>
            <w:tcW w:w="1040" w:type="dxa"/>
            <w:vMerge/>
          </w:tcPr>
          <w:p w:rsidR="00677D54" w:rsidRDefault="00677D54">
            <w:pPr>
              <w:rPr>
                <w:rFonts w:ascii="华文仿宋" w:eastAsia="华文仿宋" w:hAnsi="华文仿宋" w:cs="华文仿宋"/>
                <w:sz w:val="30"/>
                <w:szCs w:val="30"/>
              </w:rPr>
            </w:pPr>
          </w:p>
        </w:tc>
        <w:tc>
          <w:tcPr>
            <w:tcW w:w="2960" w:type="dxa"/>
            <w:vAlign w:val="center"/>
          </w:tcPr>
          <w:p w:rsidR="00677D54" w:rsidRDefault="00941609">
            <w:pPr>
              <w:jc w:val="center"/>
              <w:rPr>
                <w:rFonts w:ascii="华文仿宋" w:eastAsia="华文仿宋" w:hAnsi="华文仿宋" w:cs="华文仿宋"/>
                <w:sz w:val="30"/>
                <w:szCs w:val="30"/>
              </w:rPr>
            </w:pPr>
            <w:r>
              <w:rPr>
                <w:rFonts w:ascii="华文仿宋" w:eastAsia="华文仿宋" w:hAnsi="华文仿宋" w:cs="华文仿宋" w:hint="eastAsia"/>
                <w:sz w:val="30"/>
                <w:szCs w:val="30"/>
              </w:rPr>
              <w:t>计量违法行为</w:t>
            </w:r>
          </w:p>
        </w:tc>
        <w:tc>
          <w:tcPr>
            <w:tcW w:w="4693" w:type="dxa"/>
            <w:vAlign w:val="center"/>
          </w:tcPr>
          <w:p w:rsidR="00677D54" w:rsidRDefault="00941609">
            <w:pPr>
              <w:rPr>
                <w:rFonts w:ascii="华文仿宋" w:eastAsia="华文仿宋" w:hAnsi="华文仿宋" w:cs="华文仿宋"/>
                <w:sz w:val="30"/>
                <w:szCs w:val="30"/>
              </w:rPr>
            </w:pPr>
            <w:r>
              <w:rPr>
                <w:rFonts w:ascii="华文仿宋" w:eastAsia="华文仿宋" w:hAnsi="华文仿宋" w:cs="华文仿宋" w:hint="eastAsia"/>
                <w:sz w:val="30"/>
                <w:szCs w:val="30"/>
              </w:rPr>
              <w:t>立案：    起；结案： 起</w:t>
            </w:r>
          </w:p>
        </w:tc>
      </w:tr>
      <w:tr w:rsidR="00677D54">
        <w:trPr>
          <w:trHeight w:val="939"/>
          <w:jc w:val="center"/>
        </w:trPr>
        <w:tc>
          <w:tcPr>
            <w:tcW w:w="1040" w:type="dxa"/>
            <w:vMerge/>
          </w:tcPr>
          <w:p w:rsidR="00677D54" w:rsidRDefault="00677D54">
            <w:pPr>
              <w:rPr>
                <w:rFonts w:ascii="华文仿宋" w:eastAsia="华文仿宋" w:hAnsi="华文仿宋" w:cs="华文仿宋"/>
                <w:sz w:val="30"/>
                <w:szCs w:val="30"/>
              </w:rPr>
            </w:pPr>
          </w:p>
        </w:tc>
        <w:tc>
          <w:tcPr>
            <w:tcW w:w="2960" w:type="dxa"/>
            <w:vAlign w:val="center"/>
          </w:tcPr>
          <w:p w:rsidR="00677D54" w:rsidRDefault="00941609">
            <w:pPr>
              <w:jc w:val="center"/>
              <w:rPr>
                <w:rFonts w:ascii="华文仿宋" w:eastAsia="华文仿宋" w:hAnsi="华文仿宋" w:cs="华文仿宋"/>
                <w:sz w:val="30"/>
                <w:szCs w:val="30"/>
              </w:rPr>
            </w:pPr>
            <w:r>
              <w:rPr>
                <w:rFonts w:ascii="华文仿宋" w:eastAsia="华文仿宋" w:hAnsi="华文仿宋" w:cs="华文仿宋" w:hint="eastAsia"/>
                <w:sz w:val="30"/>
                <w:szCs w:val="30"/>
              </w:rPr>
              <w:t>价格违法行为</w:t>
            </w:r>
          </w:p>
        </w:tc>
        <w:tc>
          <w:tcPr>
            <w:tcW w:w="4693" w:type="dxa"/>
            <w:vAlign w:val="center"/>
          </w:tcPr>
          <w:p w:rsidR="00677D54" w:rsidRDefault="00941609">
            <w:pPr>
              <w:rPr>
                <w:rFonts w:ascii="华文仿宋" w:eastAsia="华文仿宋" w:hAnsi="华文仿宋" w:cs="华文仿宋"/>
                <w:sz w:val="30"/>
                <w:szCs w:val="30"/>
              </w:rPr>
            </w:pPr>
            <w:r>
              <w:rPr>
                <w:rFonts w:ascii="华文仿宋" w:eastAsia="华文仿宋" w:hAnsi="华文仿宋" w:cs="华文仿宋" w:hint="eastAsia"/>
                <w:sz w:val="30"/>
                <w:szCs w:val="30"/>
              </w:rPr>
              <w:t>立案：    起；结案：    起</w:t>
            </w:r>
          </w:p>
        </w:tc>
      </w:tr>
      <w:tr w:rsidR="00677D54">
        <w:trPr>
          <w:trHeight w:val="939"/>
          <w:jc w:val="center"/>
        </w:trPr>
        <w:tc>
          <w:tcPr>
            <w:tcW w:w="1040" w:type="dxa"/>
            <w:vMerge/>
          </w:tcPr>
          <w:p w:rsidR="00677D54" w:rsidRDefault="00677D54">
            <w:pPr>
              <w:rPr>
                <w:rFonts w:ascii="华文仿宋" w:eastAsia="华文仿宋" w:hAnsi="华文仿宋" w:cs="华文仿宋"/>
                <w:sz w:val="30"/>
                <w:szCs w:val="30"/>
              </w:rPr>
            </w:pPr>
          </w:p>
        </w:tc>
        <w:tc>
          <w:tcPr>
            <w:tcW w:w="2960" w:type="dxa"/>
            <w:vAlign w:val="center"/>
          </w:tcPr>
          <w:p w:rsidR="00677D54" w:rsidRDefault="00941609">
            <w:pPr>
              <w:jc w:val="center"/>
              <w:rPr>
                <w:rFonts w:ascii="华文仿宋" w:eastAsia="华文仿宋" w:hAnsi="华文仿宋" w:cs="华文仿宋"/>
                <w:sz w:val="30"/>
                <w:szCs w:val="30"/>
              </w:rPr>
            </w:pPr>
            <w:r>
              <w:rPr>
                <w:rFonts w:ascii="华文仿宋" w:eastAsia="华文仿宋" w:hAnsi="华文仿宋" w:cs="华文仿宋" w:hint="eastAsia"/>
                <w:sz w:val="30"/>
                <w:szCs w:val="30"/>
              </w:rPr>
              <w:t>食品安全违法行为</w:t>
            </w:r>
          </w:p>
        </w:tc>
        <w:tc>
          <w:tcPr>
            <w:tcW w:w="4693" w:type="dxa"/>
            <w:vAlign w:val="center"/>
          </w:tcPr>
          <w:p w:rsidR="00677D54" w:rsidRDefault="00941609">
            <w:pPr>
              <w:rPr>
                <w:rFonts w:ascii="华文仿宋" w:eastAsia="华文仿宋" w:hAnsi="华文仿宋" w:cs="华文仿宋"/>
                <w:sz w:val="30"/>
                <w:szCs w:val="30"/>
              </w:rPr>
            </w:pPr>
            <w:r>
              <w:rPr>
                <w:rFonts w:ascii="华文仿宋" w:eastAsia="华文仿宋" w:hAnsi="华文仿宋" w:cs="华文仿宋" w:hint="eastAsia"/>
                <w:sz w:val="30"/>
                <w:szCs w:val="30"/>
              </w:rPr>
              <w:t>立案：    起；结案：    起</w:t>
            </w:r>
          </w:p>
        </w:tc>
      </w:tr>
      <w:tr w:rsidR="00677D54">
        <w:trPr>
          <w:trHeight w:val="939"/>
          <w:jc w:val="center"/>
        </w:trPr>
        <w:tc>
          <w:tcPr>
            <w:tcW w:w="1040" w:type="dxa"/>
            <w:vMerge/>
          </w:tcPr>
          <w:p w:rsidR="00677D54" w:rsidRDefault="00677D54">
            <w:pPr>
              <w:rPr>
                <w:rFonts w:ascii="华文仿宋" w:eastAsia="华文仿宋" w:hAnsi="华文仿宋" w:cs="华文仿宋"/>
                <w:sz w:val="30"/>
                <w:szCs w:val="30"/>
              </w:rPr>
            </w:pPr>
          </w:p>
        </w:tc>
        <w:tc>
          <w:tcPr>
            <w:tcW w:w="2960" w:type="dxa"/>
            <w:vAlign w:val="center"/>
          </w:tcPr>
          <w:p w:rsidR="00677D54" w:rsidRDefault="00941609">
            <w:pPr>
              <w:jc w:val="center"/>
              <w:rPr>
                <w:rFonts w:ascii="华文仿宋" w:eastAsia="华文仿宋" w:hAnsi="华文仿宋" w:cs="华文仿宋"/>
                <w:sz w:val="30"/>
                <w:szCs w:val="30"/>
              </w:rPr>
            </w:pPr>
            <w:r>
              <w:rPr>
                <w:rFonts w:ascii="华文仿宋" w:eastAsia="华文仿宋" w:hAnsi="华文仿宋" w:cs="华文仿宋" w:hint="eastAsia"/>
                <w:sz w:val="30"/>
                <w:szCs w:val="30"/>
              </w:rPr>
              <w:t>扰乱市场秩序行为</w:t>
            </w:r>
          </w:p>
        </w:tc>
        <w:tc>
          <w:tcPr>
            <w:tcW w:w="4693" w:type="dxa"/>
            <w:vAlign w:val="center"/>
          </w:tcPr>
          <w:p w:rsidR="00677D54" w:rsidRDefault="00941609">
            <w:pPr>
              <w:rPr>
                <w:rFonts w:ascii="华文仿宋" w:eastAsia="华文仿宋" w:hAnsi="华文仿宋" w:cs="华文仿宋"/>
                <w:sz w:val="30"/>
                <w:szCs w:val="30"/>
              </w:rPr>
            </w:pPr>
            <w:r>
              <w:rPr>
                <w:rFonts w:ascii="华文仿宋" w:eastAsia="华文仿宋" w:hAnsi="华文仿宋" w:cs="华文仿宋" w:hint="eastAsia"/>
                <w:sz w:val="30"/>
                <w:szCs w:val="30"/>
              </w:rPr>
              <w:t>立案：    起；结案：    起</w:t>
            </w:r>
          </w:p>
        </w:tc>
      </w:tr>
      <w:tr w:rsidR="00677D54">
        <w:trPr>
          <w:trHeight w:val="939"/>
          <w:jc w:val="center"/>
        </w:trPr>
        <w:tc>
          <w:tcPr>
            <w:tcW w:w="1040" w:type="dxa"/>
            <w:vMerge/>
          </w:tcPr>
          <w:p w:rsidR="00677D54" w:rsidRDefault="00677D54">
            <w:pPr>
              <w:rPr>
                <w:rFonts w:ascii="华文仿宋" w:eastAsia="华文仿宋" w:hAnsi="华文仿宋" w:cs="华文仿宋"/>
                <w:sz w:val="30"/>
                <w:szCs w:val="30"/>
              </w:rPr>
            </w:pPr>
          </w:p>
        </w:tc>
        <w:tc>
          <w:tcPr>
            <w:tcW w:w="2960" w:type="dxa"/>
            <w:vAlign w:val="center"/>
          </w:tcPr>
          <w:p w:rsidR="00677D54" w:rsidRDefault="00941609">
            <w:pPr>
              <w:jc w:val="center"/>
              <w:rPr>
                <w:rFonts w:ascii="华文仿宋" w:eastAsia="华文仿宋" w:hAnsi="华文仿宋" w:cs="华文仿宋"/>
                <w:sz w:val="30"/>
                <w:szCs w:val="30"/>
              </w:rPr>
            </w:pPr>
            <w:r>
              <w:rPr>
                <w:rFonts w:ascii="华文仿宋" w:eastAsia="华文仿宋" w:hAnsi="华文仿宋" w:cs="华文仿宋" w:hint="eastAsia"/>
                <w:sz w:val="30"/>
                <w:szCs w:val="30"/>
              </w:rPr>
              <w:t>其他违法违规行为</w:t>
            </w:r>
          </w:p>
        </w:tc>
        <w:tc>
          <w:tcPr>
            <w:tcW w:w="4693" w:type="dxa"/>
            <w:vAlign w:val="center"/>
          </w:tcPr>
          <w:p w:rsidR="00677D54" w:rsidRDefault="00941609">
            <w:pPr>
              <w:rPr>
                <w:rFonts w:ascii="华文仿宋" w:eastAsia="华文仿宋" w:hAnsi="华文仿宋" w:cs="华文仿宋"/>
                <w:sz w:val="30"/>
                <w:szCs w:val="30"/>
              </w:rPr>
            </w:pPr>
            <w:r>
              <w:rPr>
                <w:rFonts w:ascii="华文仿宋" w:eastAsia="华文仿宋" w:hAnsi="华文仿宋" w:cs="华文仿宋" w:hint="eastAsia"/>
                <w:sz w:val="30"/>
                <w:szCs w:val="30"/>
              </w:rPr>
              <w:t>立案：    起；结案：    起</w:t>
            </w:r>
          </w:p>
        </w:tc>
      </w:tr>
      <w:tr w:rsidR="00677D54">
        <w:trPr>
          <w:trHeight w:val="939"/>
          <w:jc w:val="center"/>
        </w:trPr>
        <w:tc>
          <w:tcPr>
            <w:tcW w:w="4000" w:type="dxa"/>
            <w:gridSpan w:val="2"/>
            <w:vAlign w:val="center"/>
          </w:tcPr>
          <w:p w:rsidR="00677D54" w:rsidRDefault="00941609">
            <w:pPr>
              <w:jc w:val="center"/>
              <w:rPr>
                <w:rFonts w:ascii="华文仿宋" w:eastAsia="华文仿宋" w:hAnsi="华文仿宋" w:cs="华文仿宋"/>
                <w:sz w:val="30"/>
                <w:szCs w:val="30"/>
              </w:rPr>
            </w:pPr>
            <w:r>
              <w:rPr>
                <w:rFonts w:ascii="华文仿宋" w:eastAsia="华文仿宋" w:hAnsi="华文仿宋" w:cs="华文仿宋" w:hint="eastAsia"/>
                <w:sz w:val="30"/>
                <w:szCs w:val="30"/>
              </w:rPr>
              <w:lastRenderedPageBreak/>
              <w:t>罚没款金额</w:t>
            </w:r>
          </w:p>
        </w:tc>
        <w:tc>
          <w:tcPr>
            <w:tcW w:w="4693" w:type="dxa"/>
            <w:vAlign w:val="center"/>
          </w:tcPr>
          <w:p w:rsidR="00677D54" w:rsidRDefault="00941609">
            <w:pPr>
              <w:rPr>
                <w:rFonts w:ascii="华文仿宋" w:eastAsia="华文仿宋" w:hAnsi="华文仿宋" w:cs="华文仿宋"/>
                <w:sz w:val="30"/>
                <w:szCs w:val="30"/>
              </w:rPr>
            </w:pPr>
            <w:r>
              <w:rPr>
                <w:rFonts w:ascii="华文仿宋" w:eastAsia="华文仿宋" w:hAnsi="华文仿宋" w:cs="华文仿宋" w:hint="eastAsia"/>
                <w:sz w:val="30"/>
                <w:szCs w:val="30"/>
              </w:rPr>
              <w:t>没收：     元；罚款：    元；</w:t>
            </w:r>
          </w:p>
          <w:p w:rsidR="00677D54" w:rsidRDefault="00941609">
            <w:pPr>
              <w:rPr>
                <w:rFonts w:ascii="华文仿宋" w:eastAsia="华文仿宋" w:hAnsi="华文仿宋" w:cs="华文仿宋"/>
                <w:sz w:val="30"/>
                <w:szCs w:val="30"/>
              </w:rPr>
            </w:pPr>
            <w:r>
              <w:rPr>
                <w:rFonts w:ascii="华文仿宋" w:eastAsia="华文仿宋" w:hAnsi="华文仿宋" w:cs="华文仿宋" w:hint="eastAsia"/>
                <w:sz w:val="30"/>
                <w:szCs w:val="30"/>
              </w:rPr>
              <w:t>退还多收价款：    元。</w:t>
            </w:r>
          </w:p>
        </w:tc>
      </w:tr>
      <w:tr w:rsidR="00677D54">
        <w:trPr>
          <w:trHeight w:val="1027"/>
          <w:jc w:val="center"/>
        </w:trPr>
        <w:tc>
          <w:tcPr>
            <w:tcW w:w="4000" w:type="dxa"/>
            <w:gridSpan w:val="2"/>
            <w:vAlign w:val="center"/>
          </w:tcPr>
          <w:p w:rsidR="00677D54" w:rsidRDefault="00941609">
            <w:pPr>
              <w:jc w:val="center"/>
              <w:rPr>
                <w:rFonts w:ascii="华文仿宋" w:eastAsia="华文仿宋" w:hAnsi="华文仿宋" w:cs="华文仿宋"/>
                <w:sz w:val="30"/>
                <w:szCs w:val="30"/>
              </w:rPr>
            </w:pPr>
            <w:r>
              <w:rPr>
                <w:rFonts w:ascii="华文仿宋" w:eastAsia="华文仿宋" w:hAnsi="华文仿宋" w:cs="华文仿宋" w:hint="eastAsia"/>
                <w:sz w:val="30"/>
                <w:szCs w:val="30"/>
              </w:rPr>
              <w:t>向其他部门移交线索数量</w:t>
            </w:r>
          </w:p>
        </w:tc>
        <w:tc>
          <w:tcPr>
            <w:tcW w:w="4693" w:type="dxa"/>
            <w:vAlign w:val="center"/>
          </w:tcPr>
          <w:p w:rsidR="00677D54" w:rsidRDefault="00677D54">
            <w:pPr>
              <w:jc w:val="center"/>
              <w:rPr>
                <w:rFonts w:ascii="华文仿宋" w:eastAsia="华文仿宋" w:hAnsi="华文仿宋" w:cs="华文仿宋"/>
                <w:sz w:val="30"/>
                <w:szCs w:val="30"/>
              </w:rPr>
            </w:pPr>
          </w:p>
        </w:tc>
      </w:tr>
    </w:tbl>
    <w:p w:rsidR="00677D54" w:rsidRDefault="00941609">
      <w:pPr>
        <w:adjustRightInd/>
        <w:snapToGrid/>
        <w:rPr>
          <w:rFonts w:ascii="仿宋" w:eastAsia="仿宋" w:hAnsi="仿宋"/>
          <w:sz w:val="32"/>
          <w:szCs w:val="32"/>
        </w:rPr>
      </w:pPr>
      <w:r>
        <w:rPr>
          <w:rFonts w:ascii="仿宋" w:eastAsia="仿宋" w:hAnsi="仿宋" w:hint="eastAsia"/>
          <w:sz w:val="32"/>
          <w:szCs w:val="32"/>
        </w:rPr>
        <w:t>单位负责人：                     填表人：</w:t>
      </w:r>
    </w:p>
    <w:sectPr w:rsidR="00677D54" w:rsidSect="00677D5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C74" w:rsidRDefault="006A3C74" w:rsidP="00677D54">
      <w:r>
        <w:separator/>
      </w:r>
    </w:p>
  </w:endnote>
  <w:endnote w:type="continuationSeparator" w:id="1">
    <w:p w:rsidR="006A3C74" w:rsidRDefault="006A3C74" w:rsidP="00677D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default"/>
    <w:sig w:usb0="00000000" w:usb1="00000000"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D54" w:rsidRDefault="007B6EA5">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677D54" w:rsidRDefault="007B6EA5">
                <w:pPr>
                  <w:pStyle w:val="a3"/>
                </w:pPr>
                <w:r>
                  <w:fldChar w:fldCharType="begin"/>
                </w:r>
                <w:r w:rsidR="00941609">
                  <w:instrText xml:space="preserve"> PAGE  \* MERGEFORMAT </w:instrText>
                </w:r>
                <w:r>
                  <w:fldChar w:fldCharType="separate"/>
                </w:r>
                <w:r w:rsidR="00592BB0">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C74" w:rsidRDefault="006A3C74" w:rsidP="00677D54">
      <w:r>
        <w:separator/>
      </w:r>
    </w:p>
  </w:footnote>
  <w:footnote w:type="continuationSeparator" w:id="1">
    <w:p w:rsidR="006A3C74" w:rsidRDefault="006A3C74" w:rsidP="00677D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7977"/>
    <w:rsid w:val="000D7977"/>
    <w:rsid w:val="000E5C47"/>
    <w:rsid w:val="000E77BE"/>
    <w:rsid w:val="00267743"/>
    <w:rsid w:val="003900A5"/>
    <w:rsid w:val="004729F5"/>
    <w:rsid w:val="004D27A5"/>
    <w:rsid w:val="00592BB0"/>
    <w:rsid w:val="00677D54"/>
    <w:rsid w:val="006A3C74"/>
    <w:rsid w:val="007B6EA5"/>
    <w:rsid w:val="00941609"/>
    <w:rsid w:val="00B820F2"/>
    <w:rsid w:val="00BB6220"/>
    <w:rsid w:val="00C32653"/>
    <w:rsid w:val="00C96B63"/>
    <w:rsid w:val="00E24982"/>
    <w:rsid w:val="00E7408E"/>
    <w:rsid w:val="00EB7E07"/>
    <w:rsid w:val="047314B6"/>
    <w:rsid w:val="05FD585A"/>
    <w:rsid w:val="06784800"/>
    <w:rsid w:val="09F731B6"/>
    <w:rsid w:val="1BCC13A6"/>
    <w:rsid w:val="1E3D44E7"/>
    <w:rsid w:val="21B60BFC"/>
    <w:rsid w:val="23DF3A9B"/>
    <w:rsid w:val="255A219C"/>
    <w:rsid w:val="49E245FC"/>
    <w:rsid w:val="4CC57BF5"/>
    <w:rsid w:val="4F400354"/>
    <w:rsid w:val="5125267E"/>
    <w:rsid w:val="60140FC5"/>
    <w:rsid w:val="7AF70E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D54"/>
    <w:pPr>
      <w:kinsoku w:val="0"/>
      <w:autoSpaceDE w:val="0"/>
      <w:autoSpaceDN w:val="0"/>
      <w:adjustRightInd w:val="0"/>
      <w:snapToGrid w:val="0"/>
      <w:textAlignment w:val="baseline"/>
    </w:pPr>
    <w:rPr>
      <w:rFonts w:ascii="Arial" w:eastAsia="宋体" w:hAnsi="Arial" w:cs="Arial"/>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rsid w:val="00677D54"/>
    <w:pPr>
      <w:tabs>
        <w:tab w:val="center" w:pos="4153"/>
        <w:tab w:val="right" w:pos="8306"/>
      </w:tabs>
    </w:pPr>
    <w:rPr>
      <w:sz w:val="18"/>
    </w:rPr>
  </w:style>
  <w:style w:type="paragraph" w:styleId="a4">
    <w:name w:val="header"/>
    <w:basedOn w:val="a"/>
    <w:uiPriority w:val="99"/>
    <w:semiHidden/>
    <w:unhideWhenUsed/>
    <w:qFormat/>
    <w:rsid w:val="00677D54"/>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5">
    <w:name w:val="Table Grid"/>
    <w:basedOn w:val="a1"/>
    <w:uiPriority w:val="59"/>
    <w:rsid w:val="00677D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Char"/>
    <w:uiPriority w:val="99"/>
    <w:semiHidden/>
    <w:unhideWhenUsed/>
    <w:rsid w:val="00B820F2"/>
    <w:pPr>
      <w:spacing w:after="120"/>
      <w:ind w:leftChars="200" w:left="420"/>
    </w:pPr>
  </w:style>
  <w:style w:type="character" w:customStyle="1" w:styleId="Char">
    <w:name w:val="正文文本缩进 Char"/>
    <w:basedOn w:val="a0"/>
    <w:link w:val="a6"/>
    <w:uiPriority w:val="99"/>
    <w:semiHidden/>
    <w:rsid w:val="00B820F2"/>
    <w:rPr>
      <w:rFonts w:ascii="Arial" w:eastAsia="宋体" w:hAnsi="Arial" w:cs="Arial"/>
      <w:color w:val="000000"/>
      <w:sz w:val="21"/>
      <w:szCs w:val="21"/>
    </w:rPr>
  </w:style>
  <w:style w:type="paragraph" w:styleId="2">
    <w:name w:val="Body Text First Indent 2"/>
    <w:basedOn w:val="a6"/>
    <w:link w:val="2Char"/>
    <w:uiPriority w:val="99"/>
    <w:unhideWhenUsed/>
    <w:qFormat/>
    <w:rsid w:val="00B820F2"/>
    <w:pPr>
      <w:widowControl w:val="0"/>
      <w:kinsoku/>
      <w:autoSpaceDE/>
      <w:autoSpaceDN/>
      <w:adjustRightInd/>
      <w:snapToGrid/>
      <w:ind w:firstLineChars="200" w:firstLine="420"/>
      <w:jc w:val="both"/>
      <w:textAlignment w:val="auto"/>
    </w:pPr>
    <w:rPr>
      <w:rFonts w:ascii="等线" w:eastAsia="等线" w:hAnsi="等线" w:cs="Times New Roman"/>
      <w:color w:val="auto"/>
      <w:kern w:val="2"/>
      <w:szCs w:val="22"/>
    </w:rPr>
  </w:style>
  <w:style w:type="character" w:customStyle="1" w:styleId="2Char">
    <w:name w:val="正文首行缩进 2 Char"/>
    <w:basedOn w:val="Char"/>
    <w:link w:val="2"/>
    <w:uiPriority w:val="99"/>
    <w:qFormat/>
    <w:rsid w:val="00B820F2"/>
    <w:rPr>
      <w:rFonts w:ascii="等线" w:eastAsia="等线" w:hAnsi="等线" w:cs="Times New Roman"/>
      <w:kern w:val="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376</Words>
  <Characters>2145</Characters>
  <Application>Microsoft Office Word</Application>
  <DocSecurity>0</DocSecurity>
  <Lines>17</Lines>
  <Paragraphs>5</Paragraphs>
  <ScaleCrop>false</ScaleCrop>
  <Company>MS</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tengzhou</cp:lastModifiedBy>
  <cp:revision>5</cp:revision>
  <cp:lastPrinted>2021-10-08T02:54:00Z</cp:lastPrinted>
  <dcterms:created xsi:type="dcterms:W3CDTF">2021-11-15T08:08:00Z</dcterms:created>
  <dcterms:modified xsi:type="dcterms:W3CDTF">2021-11-15T08:17:00Z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15EBADC47A9443C4B7FEAB6468861089</vt:lpwstr>
  </property>
</Properties>
</file>